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8B" w:rsidRPr="00577E8B" w:rsidRDefault="007A2763" w:rsidP="00D76EB6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kern w:val="20"/>
          <w:sz w:val="22"/>
          <w:szCs w:val="22"/>
        </w:rPr>
      </w:pPr>
      <w:bookmarkStart w:id="0" w:name="_GoBack"/>
      <w:bookmarkEnd w:id="0"/>
      <w:r w:rsidRPr="00577E8B">
        <w:rPr>
          <w:rFonts w:ascii="Arial" w:hAnsi="Arial" w:cs="Arial"/>
          <w:kern w:val="20"/>
          <w:sz w:val="22"/>
          <w:szCs w:val="22"/>
        </w:rPr>
        <w:t xml:space="preserve">On 31 October 2013, </w:t>
      </w:r>
      <w:r w:rsidR="00D76EB6">
        <w:rPr>
          <w:rFonts w:ascii="Arial" w:hAnsi="Arial" w:cs="Arial"/>
          <w:kern w:val="20"/>
          <w:sz w:val="22"/>
          <w:szCs w:val="22"/>
        </w:rPr>
        <w:t>Office of Best Practice Regulation (</w:t>
      </w:r>
      <w:r w:rsidRPr="00577E8B">
        <w:rPr>
          <w:rFonts w:ascii="Arial" w:hAnsi="Arial" w:cs="Arial"/>
          <w:kern w:val="20"/>
          <w:sz w:val="22"/>
          <w:szCs w:val="22"/>
        </w:rPr>
        <w:t>OBPR</w:t>
      </w:r>
      <w:r w:rsidR="00D76EB6">
        <w:rPr>
          <w:rFonts w:ascii="Arial" w:hAnsi="Arial" w:cs="Arial"/>
          <w:kern w:val="20"/>
          <w:sz w:val="22"/>
          <w:szCs w:val="22"/>
        </w:rPr>
        <w:t>)</w:t>
      </w:r>
      <w:r w:rsidRPr="00577E8B">
        <w:rPr>
          <w:rFonts w:ascii="Arial" w:hAnsi="Arial" w:cs="Arial"/>
          <w:kern w:val="20"/>
          <w:sz w:val="22"/>
          <w:szCs w:val="22"/>
        </w:rPr>
        <w:t xml:space="preserve"> provided its inaugural Annual Report to the Treasurer and Minister for Trade.  The Annual Report provide</w:t>
      </w:r>
      <w:r>
        <w:rPr>
          <w:rFonts w:ascii="Arial" w:hAnsi="Arial" w:cs="Arial"/>
          <w:kern w:val="20"/>
          <w:sz w:val="22"/>
          <w:szCs w:val="22"/>
        </w:rPr>
        <w:t>d</w:t>
      </w:r>
      <w:r w:rsidRPr="00577E8B">
        <w:rPr>
          <w:rFonts w:ascii="Arial" w:hAnsi="Arial" w:cs="Arial"/>
          <w:kern w:val="20"/>
          <w:sz w:val="22"/>
          <w:szCs w:val="22"/>
        </w:rPr>
        <w:t xml:space="preserve"> the first formal and independent measure of progress in achieving the key election commitment of reducing red tape by 20</w:t>
      </w:r>
      <w:r>
        <w:rPr>
          <w:rFonts w:ascii="Arial" w:hAnsi="Arial" w:cs="Arial"/>
          <w:kern w:val="20"/>
          <w:sz w:val="22"/>
          <w:szCs w:val="22"/>
        </w:rPr>
        <w:t>%</w:t>
      </w:r>
      <w:r w:rsidRPr="00577E8B">
        <w:rPr>
          <w:rFonts w:ascii="Arial" w:hAnsi="Arial" w:cs="Arial"/>
          <w:kern w:val="20"/>
          <w:sz w:val="22"/>
          <w:szCs w:val="22"/>
        </w:rPr>
        <w:t xml:space="preserve"> by 2018.  It measure</w:t>
      </w:r>
      <w:r>
        <w:rPr>
          <w:rFonts w:ascii="Arial" w:hAnsi="Arial" w:cs="Arial"/>
          <w:kern w:val="20"/>
          <w:sz w:val="22"/>
          <w:szCs w:val="22"/>
        </w:rPr>
        <w:t>d</w:t>
      </w:r>
      <w:r w:rsidRPr="00577E8B">
        <w:rPr>
          <w:rFonts w:ascii="Arial" w:hAnsi="Arial" w:cs="Arial"/>
          <w:kern w:val="20"/>
          <w:sz w:val="22"/>
          <w:szCs w:val="22"/>
        </w:rPr>
        <w:t xml:space="preserve"> the change in the regulatory burden using a basket of measures (regulatory requirements, legislative pages and dollar cost) over the period from 23 March 2012 to </w:t>
      </w:r>
      <w:r w:rsidRPr="00577E8B">
        <w:rPr>
          <w:rFonts w:ascii="Arial" w:hAnsi="Arial" w:cs="Arial"/>
          <w:sz w:val="22"/>
          <w:szCs w:val="22"/>
        </w:rPr>
        <w:t>30 June</w:t>
      </w:r>
      <w:r w:rsidRPr="00577E8B">
        <w:rPr>
          <w:rFonts w:ascii="Arial" w:hAnsi="Arial" w:cs="Arial"/>
          <w:kern w:val="20"/>
          <w:sz w:val="22"/>
          <w:szCs w:val="22"/>
        </w:rPr>
        <w:t xml:space="preserve"> 2013, as well as reporting on regulatory assessment activity.</w:t>
      </w:r>
      <w:r w:rsidR="00577E8B" w:rsidRPr="00577E8B">
        <w:rPr>
          <w:rFonts w:ascii="Arial" w:hAnsi="Arial" w:cs="Arial"/>
          <w:kern w:val="20"/>
          <w:sz w:val="22"/>
          <w:szCs w:val="22"/>
        </w:rPr>
        <w:t xml:space="preserve">  </w:t>
      </w:r>
    </w:p>
    <w:p w:rsidR="00577E8B" w:rsidRPr="00577E8B" w:rsidRDefault="007A2763" w:rsidP="00577E8B">
      <w:pPr>
        <w:pStyle w:val="ListParagraph"/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kern w:val="20"/>
          <w:sz w:val="22"/>
          <w:szCs w:val="22"/>
        </w:rPr>
      </w:pPr>
      <w:r w:rsidRPr="00577E8B">
        <w:rPr>
          <w:rFonts w:ascii="Arial" w:hAnsi="Arial" w:cs="Arial"/>
          <w:kern w:val="20"/>
          <w:sz w:val="22"/>
          <w:szCs w:val="22"/>
        </w:rPr>
        <w:t>The Annual Report highlight</w:t>
      </w:r>
      <w:r>
        <w:rPr>
          <w:rFonts w:ascii="Arial" w:hAnsi="Arial" w:cs="Arial"/>
          <w:kern w:val="20"/>
          <w:sz w:val="22"/>
          <w:szCs w:val="22"/>
        </w:rPr>
        <w:t>ed th</w:t>
      </w:r>
      <w:r w:rsidRPr="00577E8B">
        <w:rPr>
          <w:rFonts w:ascii="Arial" w:hAnsi="Arial" w:cs="Arial"/>
          <w:kern w:val="20"/>
          <w:sz w:val="22"/>
          <w:szCs w:val="22"/>
        </w:rPr>
        <w:t>at significant inroads are being made as a result of the substantial body of work by agencies in implementing red tape reduction reforms.  However, the Report also highlight</w:t>
      </w:r>
      <w:r>
        <w:rPr>
          <w:rFonts w:ascii="Arial" w:hAnsi="Arial" w:cs="Arial"/>
          <w:kern w:val="20"/>
          <w:sz w:val="22"/>
          <w:szCs w:val="22"/>
        </w:rPr>
        <w:t>ed</w:t>
      </w:r>
      <w:r w:rsidRPr="00577E8B">
        <w:rPr>
          <w:rFonts w:ascii="Arial" w:hAnsi="Arial" w:cs="Arial"/>
          <w:kern w:val="20"/>
          <w:sz w:val="22"/>
          <w:szCs w:val="22"/>
        </w:rPr>
        <w:t xml:space="preserve"> the need for an ongoing commitment by agencies to focus on identifying reforms which can deliver financial, economic and administrative benefits for businesses, not-for-profit and community organisations and individuals.</w:t>
      </w:r>
      <w:r w:rsidR="00577E8B" w:rsidRPr="00577E8B">
        <w:rPr>
          <w:rFonts w:ascii="Arial" w:hAnsi="Arial" w:cs="Arial"/>
          <w:kern w:val="20"/>
          <w:sz w:val="22"/>
          <w:szCs w:val="22"/>
        </w:rPr>
        <w:t xml:space="preserve"> </w:t>
      </w:r>
    </w:p>
    <w:p w:rsidR="007A2763" w:rsidRPr="00577E8B" w:rsidRDefault="007A2763" w:rsidP="007A2763">
      <w:pPr>
        <w:pStyle w:val="ListParagraph"/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kern w:val="20"/>
          <w:sz w:val="22"/>
          <w:szCs w:val="22"/>
        </w:rPr>
      </w:pPr>
      <w:r w:rsidRPr="00577E8B">
        <w:rPr>
          <w:rFonts w:ascii="Arial" w:hAnsi="Arial" w:cs="Arial"/>
          <w:kern w:val="20"/>
          <w:sz w:val="22"/>
          <w:szCs w:val="22"/>
        </w:rPr>
        <w:t xml:space="preserve">The key outcomes over the reporting period </w:t>
      </w:r>
      <w:r>
        <w:rPr>
          <w:rFonts w:ascii="Arial" w:hAnsi="Arial" w:cs="Arial"/>
          <w:kern w:val="20"/>
          <w:sz w:val="22"/>
          <w:szCs w:val="22"/>
        </w:rPr>
        <w:t>we</w:t>
      </w:r>
      <w:r w:rsidRPr="00577E8B">
        <w:rPr>
          <w:rFonts w:ascii="Arial" w:hAnsi="Arial" w:cs="Arial"/>
          <w:kern w:val="20"/>
          <w:sz w:val="22"/>
          <w:szCs w:val="22"/>
        </w:rPr>
        <w:t>re as follows:</w:t>
      </w:r>
    </w:p>
    <w:p w:rsidR="007A2763" w:rsidRPr="00577E8B" w:rsidRDefault="007A2763" w:rsidP="00FB1E1A">
      <w:pPr>
        <w:pStyle w:val="ListParagraph"/>
        <w:numPr>
          <w:ilvl w:val="0"/>
          <w:numId w:val="1"/>
        </w:numPr>
        <w:spacing w:before="120"/>
        <w:ind w:left="709" w:hanging="216"/>
        <w:jc w:val="both"/>
        <w:rPr>
          <w:rFonts w:ascii="Arial" w:hAnsi="Arial" w:cs="Arial"/>
          <w:kern w:val="20"/>
          <w:sz w:val="22"/>
          <w:szCs w:val="22"/>
        </w:rPr>
      </w:pPr>
      <w:r w:rsidRPr="00577E8B">
        <w:rPr>
          <w:rFonts w:ascii="Arial" w:hAnsi="Arial" w:cs="Arial"/>
          <w:kern w:val="20"/>
          <w:sz w:val="22"/>
          <w:szCs w:val="22"/>
        </w:rPr>
        <w:t xml:space="preserve">a net reduction of </w:t>
      </w:r>
      <w:r>
        <w:rPr>
          <w:rFonts w:ascii="Arial" w:hAnsi="Arial" w:cs="Arial"/>
          <w:kern w:val="20"/>
          <w:sz w:val="22"/>
          <w:szCs w:val="22"/>
        </w:rPr>
        <w:t xml:space="preserve">9,404 </w:t>
      </w:r>
      <w:r w:rsidRPr="00577E8B">
        <w:rPr>
          <w:rFonts w:ascii="Arial" w:hAnsi="Arial" w:cs="Arial"/>
          <w:kern w:val="20"/>
          <w:sz w:val="22"/>
          <w:szCs w:val="22"/>
        </w:rPr>
        <w:t>regulatory requirements, equating to a 3.</w:t>
      </w:r>
      <w:r>
        <w:rPr>
          <w:rFonts w:ascii="Arial" w:hAnsi="Arial" w:cs="Arial"/>
          <w:kern w:val="20"/>
          <w:sz w:val="22"/>
          <w:szCs w:val="22"/>
        </w:rPr>
        <w:t>5</w:t>
      </w:r>
      <w:r w:rsidRPr="00577E8B">
        <w:rPr>
          <w:rFonts w:ascii="Arial" w:hAnsi="Arial" w:cs="Arial"/>
          <w:kern w:val="20"/>
          <w:sz w:val="22"/>
          <w:szCs w:val="22"/>
        </w:rPr>
        <w:t>5% decrease in requirements across Government; and</w:t>
      </w:r>
    </w:p>
    <w:p w:rsidR="007A2763" w:rsidRPr="007A2763" w:rsidRDefault="007A2763" w:rsidP="00FB1E1A">
      <w:pPr>
        <w:pStyle w:val="ListParagraph"/>
        <w:numPr>
          <w:ilvl w:val="0"/>
          <w:numId w:val="1"/>
        </w:numPr>
        <w:spacing w:before="120"/>
        <w:ind w:left="85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77E8B">
        <w:rPr>
          <w:rFonts w:ascii="Arial" w:hAnsi="Arial" w:cs="Arial"/>
          <w:kern w:val="20"/>
          <w:sz w:val="22"/>
          <w:szCs w:val="22"/>
        </w:rPr>
        <w:t>a reduction of 429 pages of Queensland legislation (0.6% decrease).</w:t>
      </w:r>
    </w:p>
    <w:p w:rsidR="0088006D" w:rsidRPr="007A2763" w:rsidRDefault="0088006D" w:rsidP="007A2763">
      <w:pPr>
        <w:pStyle w:val="ListParagraph"/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A2763">
        <w:rPr>
          <w:rFonts w:ascii="Arial" w:hAnsi="Arial" w:cs="Arial"/>
          <w:color w:val="000000"/>
          <w:sz w:val="22"/>
          <w:szCs w:val="22"/>
          <w:u w:val="single"/>
        </w:rPr>
        <w:t xml:space="preserve">Cabinet </w:t>
      </w:r>
      <w:r w:rsidR="00577E8B" w:rsidRPr="007A2763">
        <w:rPr>
          <w:rFonts w:ascii="Arial" w:hAnsi="Arial" w:cs="Arial"/>
          <w:color w:val="000000"/>
          <w:sz w:val="22"/>
          <w:szCs w:val="22"/>
          <w:u w:val="single"/>
        </w:rPr>
        <w:t>noted</w:t>
      </w:r>
      <w:r w:rsidR="00577E8B" w:rsidRPr="007A27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A2763">
        <w:rPr>
          <w:rFonts w:ascii="Arial" w:hAnsi="Arial" w:cs="Arial"/>
          <w:color w:val="000000"/>
          <w:sz w:val="22"/>
          <w:szCs w:val="22"/>
        </w:rPr>
        <w:t xml:space="preserve">the Office of Best Practice Regulation’s </w:t>
      </w:r>
      <w:r w:rsidRPr="007A2763">
        <w:rPr>
          <w:rFonts w:ascii="Arial" w:hAnsi="Arial" w:cs="Arial"/>
          <w:i/>
          <w:color w:val="000000"/>
          <w:sz w:val="22"/>
          <w:szCs w:val="22"/>
        </w:rPr>
        <w:t>2012-13 Annual Report on Reducing the Burden of Regulation in Queensland.</w:t>
      </w:r>
    </w:p>
    <w:p w:rsidR="006D79B8" w:rsidRDefault="006D79B8" w:rsidP="00FB1E1A">
      <w:pPr>
        <w:pStyle w:val="ListParagraph"/>
        <w:numPr>
          <w:ilvl w:val="0"/>
          <w:numId w:val="2"/>
        </w:numPr>
        <w:spacing w:before="3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76EB6">
        <w:rPr>
          <w:rFonts w:ascii="Arial" w:hAnsi="Arial" w:cs="Arial"/>
          <w:i/>
          <w:color w:val="000000"/>
          <w:sz w:val="22"/>
          <w:szCs w:val="22"/>
          <w:u w:val="single"/>
        </w:rPr>
        <w:t>Attachment</w:t>
      </w:r>
    </w:p>
    <w:p w:rsidR="006D79B8" w:rsidRPr="00577E8B" w:rsidRDefault="005A454C" w:rsidP="00FB1E1A">
      <w:pPr>
        <w:pStyle w:val="ListParagraph"/>
        <w:numPr>
          <w:ilvl w:val="0"/>
          <w:numId w:val="1"/>
        </w:numPr>
        <w:spacing w:before="120"/>
        <w:ind w:left="850" w:hanging="357"/>
        <w:jc w:val="both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6D79B8" w:rsidRPr="00A35165">
          <w:rPr>
            <w:rStyle w:val="Hyperlink"/>
            <w:rFonts w:ascii="Arial" w:hAnsi="Arial" w:cs="Arial"/>
            <w:i/>
            <w:sz w:val="22"/>
            <w:szCs w:val="22"/>
          </w:rPr>
          <w:t>2012-13 Annual Report on Reducing the Burden of Regulation in Queensland</w:t>
        </w:r>
      </w:hyperlink>
    </w:p>
    <w:sectPr w:rsidR="006D79B8" w:rsidRPr="00577E8B" w:rsidSect="00FB1E1A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F1" w:rsidRDefault="00A80DF1" w:rsidP="00B74AEA">
      <w:pPr>
        <w:spacing w:after="0" w:line="240" w:lineRule="auto"/>
      </w:pPr>
      <w:r>
        <w:separator/>
      </w:r>
    </w:p>
  </w:endnote>
  <w:endnote w:type="continuationSeparator" w:id="0">
    <w:p w:rsidR="00A80DF1" w:rsidRDefault="00A80DF1" w:rsidP="00B7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F1" w:rsidRDefault="00A80DF1" w:rsidP="00B74AEA">
      <w:pPr>
        <w:spacing w:after="0" w:line="240" w:lineRule="auto"/>
      </w:pPr>
      <w:r>
        <w:separator/>
      </w:r>
    </w:p>
  </w:footnote>
  <w:footnote w:type="continuationSeparator" w:id="0">
    <w:p w:rsidR="00A80DF1" w:rsidRDefault="00A80DF1" w:rsidP="00B7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B6" w:rsidRPr="00937A4A" w:rsidRDefault="00D76EB6" w:rsidP="00D76EB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spacing w:after="0"/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:rsidR="00D76EB6" w:rsidRPr="00937A4A" w:rsidRDefault="00D76EB6" w:rsidP="00D76EB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spacing w:after="0"/>
      <w:rPr>
        <w:rFonts w:ascii="Arial" w:hAnsi="Arial" w:cs="Arial"/>
        <w:b/>
        <w:sz w:val="14"/>
        <w:u w:val="single"/>
      </w:rPr>
    </w:pPr>
  </w:p>
  <w:p w:rsidR="00D76EB6" w:rsidRPr="00937A4A" w:rsidRDefault="00D76EB6" w:rsidP="00D76EB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spacing w:after="0"/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December 2013</w:t>
    </w:r>
  </w:p>
  <w:p w:rsidR="00D76EB6" w:rsidRPr="0088006D" w:rsidRDefault="00D76EB6" w:rsidP="00D76EB6">
    <w:pPr>
      <w:tabs>
        <w:tab w:val="center" w:pos="4153"/>
        <w:tab w:val="right" w:pos="8306"/>
      </w:tabs>
      <w:spacing w:before="120" w:after="0" w:line="240" w:lineRule="auto"/>
      <w:jc w:val="both"/>
      <w:rPr>
        <w:rFonts w:ascii="Arial" w:eastAsia="Times New Roman" w:hAnsi="Arial" w:cs="Arial"/>
        <w:b/>
        <w:u w:val="single"/>
        <w:lang w:eastAsia="en-AU"/>
      </w:rPr>
    </w:pPr>
    <w:r w:rsidRPr="0088006D">
      <w:rPr>
        <w:rFonts w:ascii="Arial" w:eastAsia="Times New Roman" w:hAnsi="Arial" w:cs="Arial"/>
        <w:b/>
        <w:u w:val="single"/>
        <w:lang w:eastAsia="en-AU"/>
      </w:rPr>
      <w:t xml:space="preserve">Office of Best Practice Regulation 2012-13 Annual Report for Reducing the Burden of Regulation in Queensland </w:t>
    </w:r>
  </w:p>
  <w:p w:rsidR="00D76EB6" w:rsidRDefault="00D76EB6" w:rsidP="00D76EB6">
    <w:pPr>
      <w:pStyle w:val="Header"/>
      <w:spacing w:before="120"/>
      <w:rPr>
        <w:rFonts w:ascii="Arial" w:hAnsi="Arial" w:cs="Arial"/>
        <w:b/>
        <w:u w:val="single"/>
      </w:rPr>
    </w:pPr>
    <w:r w:rsidRPr="00577E8B">
      <w:rPr>
        <w:rFonts w:ascii="Arial" w:eastAsia="Times New Roman" w:hAnsi="Arial" w:cs="Arial"/>
        <w:b/>
        <w:u w:val="single"/>
        <w:lang w:eastAsia="en-AU"/>
      </w:rPr>
      <w:t>Treasurer and Minister for Trade</w:t>
    </w:r>
  </w:p>
  <w:p w:rsidR="00D76EB6" w:rsidRDefault="00D76EB6" w:rsidP="00D76EB6">
    <w:pPr>
      <w:pStyle w:val="Header"/>
      <w:pBdr>
        <w:bottom w:val="single" w:sz="4" w:space="1" w:color="auto"/>
      </w:pBdr>
    </w:pPr>
  </w:p>
  <w:p w:rsidR="00D76EB6" w:rsidRDefault="00D76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A2795"/>
    <w:multiLevelType w:val="hybridMultilevel"/>
    <w:tmpl w:val="8B04C0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C58FD"/>
    <w:multiLevelType w:val="hybridMultilevel"/>
    <w:tmpl w:val="5F5CC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6D"/>
    <w:rsid w:val="000100E2"/>
    <w:rsid w:val="00035F81"/>
    <w:rsid w:val="00041A8A"/>
    <w:rsid w:val="0008609E"/>
    <w:rsid w:val="001246D5"/>
    <w:rsid w:val="00152DDA"/>
    <w:rsid w:val="0015577D"/>
    <w:rsid w:val="0016207A"/>
    <w:rsid w:val="001A3842"/>
    <w:rsid w:val="001D442A"/>
    <w:rsid w:val="00221CC0"/>
    <w:rsid w:val="00222ADE"/>
    <w:rsid w:val="00284134"/>
    <w:rsid w:val="002B0EF5"/>
    <w:rsid w:val="002D7308"/>
    <w:rsid w:val="00323B29"/>
    <w:rsid w:val="00387C6E"/>
    <w:rsid w:val="003B03CE"/>
    <w:rsid w:val="003C74D2"/>
    <w:rsid w:val="003E30B2"/>
    <w:rsid w:val="00503B8D"/>
    <w:rsid w:val="00577E8B"/>
    <w:rsid w:val="00581EE6"/>
    <w:rsid w:val="005A454C"/>
    <w:rsid w:val="005B1445"/>
    <w:rsid w:val="005C147E"/>
    <w:rsid w:val="00635DD6"/>
    <w:rsid w:val="0067135A"/>
    <w:rsid w:val="006D79B8"/>
    <w:rsid w:val="00751679"/>
    <w:rsid w:val="007534D4"/>
    <w:rsid w:val="00787891"/>
    <w:rsid w:val="007A2763"/>
    <w:rsid w:val="007A3776"/>
    <w:rsid w:val="007C7029"/>
    <w:rsid w:val="008520D7"/>
    <w:rsid w:val="0088006D"/>
    <w:rsid w:val="008D3F95"/>
    <w:rsid w:val="008E3EF7"/>
    <w:rsid w:val="00913241"/>
    <w:rsid w:val="00944349"/>
    <w:rsid w:val="009C1CAF"/>
    <w:rsid w:val="00A13864"/>
    <w:rsid w:val="00A35165"/>
    <w:rsid w:val="00A50A44"/>
    <w:rsid w:val="00A5737B"/>
    <w:rsid w:val="00A80DF1"/>
    <w:rsid w:val="00AA0C07"/>
    <w:rsid w:val="00B74AEA"/>
    <w:rsid w:val="00BD0122"/>
    <w:rsid w:val="00BD656C"/>
    <w:rsid w:val="00C11F8C"/>
    <w:rsid w:val="00C32F63"/>
    <w:rsid w:val="00CB2623"/>
    <w:rsid w:val="00CC5090"/>
    <w:rsid w:val="00D76EB6"/>
    <w:rsid w:val="00DA04AE"/>
    <w:rsid w:val="00DB074E"/>
    <w:rsid w:val="00E07622"/>
    <w:rsid w:val="00E13366"/>
    <w:rsid w:val="00E668F5"/>
    <w:rsid w:val="00EA64A9"/>
    <w:rsid w:val="00F82675"/>
    <w:rsid w:val="00F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8B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0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A"/>
  </w:style>
  <w:style w:type="paragraph" w:styleId="Footer">
    <w:name w:val="footer"/>
    <w:basedOn w:val="Normal"/>
    <w:link w:val="FooterChar"/>
    <w:uiPriority w:val="99"/>
    <w:unhideWhenUsed/>
    <w:rsid w:val="00B74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A"/>
  </w:style>
  <w:style w:type="character" w:styleId="Hyperlink">
    <w:name w:val="Hyperlink"/>
    <w:uiPriority w:val="99"/>
    <w:unhideWhenUsed/>
    <w:rsid w:val="00A351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F2EA2-457B-46D1-8543-9C606A861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A61D65-16A7-4506-B3DB-792ECE94A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001677-70E5-4A22-A6C6-959437AE60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1226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1448</CharactersWithSpaces>
  <SharedDoc>false</SharedDoc>
  <HyperlinkBase>https://www.cabinet.qld.gov.au/documents/2013/Dec/OBPR report/</HyperlinkBase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2014-07-01T08:46:00Z</cp:lastPrinted>
  <dcterms:created xsi:type="dcterms:W3CDTF">2017-10-25T00:50:00Z</dcterms:created>
  <dcterms:modified xsi:type="dcterms:W3CDTF">2018-03-06T01:17:00Z</dcterms:modified>
  <cp:category>Regulatory_Reform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0x01010064BE853DE2347F4181EBA6EDC010AAFD</vt:lpwstr>
  </property>
  <property fmtid="{D5CDD505-2E9C-101B-9397-08002B2CF9AE}" pid="3" name="IsMyDocuments">
    <vt:bool>true</vt:bool>
  </property>
</Properties>
</file>